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B232E">
      <w:pPr>
        <w:keepNext/>
        <w:keepLines/>
        <w:snapToGrid w:val="0"/>
        <w:spacing w:line="560" w:lineRule="exact"/>
        <w:ind w:firstLine="0" w:firstLineChars="0"/>
        <w:jc w:val="left"/>
        <w:outlineLvl w:val="0"/>
        <w:rPr>
          <w:rFonts w:hint="eastAsia" w:ascii="Times New Roman" w:hAnsi="Times New Roman" w:eastAsia="黑体" w:cs="Times New Roman"/>
          <w:bCs/>
          <w:kern w:val="44"/>
          <w:sz w:val="32"/>
          <w:szCs w:val="32"/>
          <w:lang w:val="en-US" w:eastAsia="zh-CN"/>
        </w:rPr>
      </w:pPr>
      <w:r>
        <w:rPr>
          <w:rFonts w:hint="eastAsia" w:ascii="Times New Roman" w:hAnsi="Times New Roman" w:eastAsia="黑体" w:cs="Times New Roman"/>
          <w:bCs/>
          <w:kern w:val="44"/>
          <w:sz w:val="32"/>
          <w:szCs w:val="32"/>
        </w:rPr>
        <w:t>附件</w:t>
      </w:r>
      <w:r>
        <w:rPr>
          <w:rFonts w:hint="eastAsia" w:ascii="Times New Roman" w:hAnsi="Times New Roman" w:eastAsia="黑体" w:cs="Times New Roman"/>
          <w:bCs/>
          <w:kern w:val="44"/>
          <w:sz w:val="32"/>
          <w:szCs w:val="32"/>
          <w:lang w:val="en-US" w:eastAsia="zh-CN"/>
        </w:rPr>
        <w:t>1</w:t>
      </w:r>
    </w:p>
    <w:p w14:paraId="17C4E122">
      <w:pPr>
        <w:spacing w:line="600" w:lineRule="exact"/>
        <w:rPr>
          <w:rFonts w:hint="eastAsia" w:ascii="Times New Roman" w:hAnsi="Times New Roman" w:eastAsia="仿宋_GB2312" w:cs="方正仿宋_GBK"/>
          <w:color w:val="000000"/>
          <w:sz w:val="32"/>
          <w:szCs w:val="32"/>
        </w:rPr>
      </w:pPr>
    </w:p>
    <w:p w14:paraId="5A7E0DCC">
      <w:pPr>
        <w:autoSpaceDE w:val="0"/>
        <w:autoSpaceDN w:val="0"/>
        <w:snapToGrid w:val="0"/>
        <w:spacing w:line="276" w:lineRule="auto"/>
        <w:ind w:firstLine="0" w:firstLineChars="0"/>
        <w:jc w:val="center"/>
        <w:rPr>
          <w:rFonts w:hint="eastAsia" w:ascii="Times New Roman" w:hAnsi="Times New Roman" w:eastAsia="方正小标宋_GBK" w:cs="Times New Roman"/>
          <w:color w:val="000000"/>
          <w:sz w:val="36"/>
          <w:szCs w:val="36"/>
          <w:lang w:val="en-US" w:eastAsia="zh-CN"/>
        </w:rPr>
      </w:pPr>
      <w:r>
        <w:rPr>
          <w:rFonts w:hint="eastAsia" w:ascii="Times New Roman" w:hAnsi="Times New Roman" w:eastAsia="方正小标宋_GBK" w:cs="Times New Roman"/>
          <w:color w:val="000000"/>
          <w:sz w:val="36"/>
          <w:szCs w:val="36"/>
          <w:lang w:val="en-US" w:eastAsia="zh-CN"/>
        </w:rPr>
        <w:t>2026年度“浦东新区自然科学基金－恒瑞医药创新发展</w:t>
      </w:r>
    </w:p>
    <w:p w14:paraId="2A84517D">
      <w:pPr>
        <w:autoSpaceDE w:val="0"/>
        <w:autoSpaceDN w:val="0"/>
        <w:snapToGrid w:val="0"/>
        <w:spacing w:line="276" w:lineRule="auto"/>
        <w:ind w:firstLine="0" w:firstLineChars="0"/>
        <w:jc w:val="center"/>
        <w:rPr>
          <w:rFonts w:hint="eastAsia" w:ascii="Times New Roman" w:hAnsi="Times New Roman" w:eastAsia="方正小标宋_GBK" w:cs="Times New Roman"/>
          <w:color w:val="000000"/>
          <w:sz w:val="36"/>
          <w:szCs w:val="36"/>
          <w:lang w:val="en-US" w:eastAsia="zh-CN"/>
        </w:rPr>
      </w:pPr>
      <w:r>
        <w:rPr>
          <w:rFonts w:hint="eastAsia" w:ascii="Times New Roman" w:hAnsi="Times New Roman" w:eastAsia="方正小标宋_GBK" w:cs="Times New Roman"/>
          <w:color w:val="000000"/>
          <w:sz w:val="36"/>
          <w:szCs w:val="36"/>
          <w:lang w:val="en-US" w:eastAsia="zh-CN"/>
        </w:rPr>
        <w:t>联合基金”面上项目指南</w:t>
      </w:r>
    </w:p>
    <w:p w14:paraId="5FECEBC2">
      <w:pPr>
        <w:spacing w:line="600" w:lineRule="exact"/>
        <w:ind w:firstLine="640" w:firstLineChars="200"/>
        <w:rPr>
          <w:rFonts w:hint="eastAsia" w:ascii="Times New Roman" w:hAnsi="Times New Roman" w:eastAsia="仿宋_GB2312" w:cs="方正仿宋_GBK"/>
          <w:color w:val="000000"/>
          <w:sz w:val="32"/>
          <w:szCs w:val="32"/>
        </w:rPr>
      </w:pPr>
    </w:p>
    <w:p w14:paraId="7C8D97B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糖尿病大血管并发症的分子机制与干预策略研究（</w:t>
      </w:r>
      <w:r>
        <w:rPr>
          <w:rFonts w:hint="eastAsia" w:ascii="Times New Roman" w:hAnsi="Times New Roman" w:eastAsia="仿宋_GB2312" w:cs="方正仿宋_GBK"/>
          <w:b/>
          <w:bCs/>
          <w:color w:val="000000"/>
          <w:sz w:val="32"/>
          <w:szCs w:val="32"/>
          <w:lang w:val="en-US" w:eastAsia="zh-CN"/>
        </w:rPr>
        <w:t>申请代码1选择</w:t>
      </w:r>
      <w:r>
        <w:rPr>
          <w:rFonts w:hint="eastAsia" w:ascii="Times New Roman" w:hAnsi="Times New Roman" w:eastAsia="仿宋_GB2312" w:cs="方正仿宋_GBK"/>
          <w:b/>
          <w:bCs/>
          <w:color w:val="000000"/>
          <w:sz w:val="32"/>
          <w:szCs w:val="32"/>
        </w:rPr>
        <w:t>H07</w:t>
      </w:r>
      <w:r>
        <w:rPr>
          <w:rFonts w:hint="eastAsia" w:ascii="Times New Roman" w:hAnsi="Times New Roman" w:eastAsia="仿宋_GB2312" w:cs="方正仿宋_GBK"/>
          <w:b/>
          <w:bCs/>
          <w:color w:val="000000"/>
          <w:sz w:val="32"/>
          <w:szCs w:val="32"/>
          <w:lang w:eastAsia="zh-CN"/>
        </w:rPr>
        <w:t>的</w:t>
      </w:r>
      <w:r>
        <w:rPr>
          <w:rFonts w:hint="eastAsia" w:ascii="Times New Roman" w:hAnsi="Times New Roman" w:eastAsia="仿宋_GB2312" w:cs="方正仿宋_GBK"/>
          <w:b/>
          <w:bCs/>
          <w:color w:val="000000"/>
          <w:sz w:val="32"/>
          <w:szCs w:val="32"/>
          <w:lang w:val="en-US" w:eastAsia="zh-CN"/>
        </w:rPr>
        <w:t>下属代码</w:t>
      </w:r>
      <w:r>
        <w:rPr>
          <w:rFonts w:hint="eastAsia" w:ascii="Times New Roman" w:hAnsi="Times New Roman" w:eastAsia="仿宋_GB2312" w:cs="方正仿宋_GBK"/>
          <w:b/>
          <w:bCs/>
          <w:color w:val="000000"/>
          <w:sz w:val="32"/>
          <w:szCs w:val="32"/>
        </w:rPr>
        <w:t>）</w:t>
      </w:r>
    </w:p>
    <w:p w14:paraId="4D1472E1">
      <w:pPr>
        <w:spacing w:line="600" w:lineRule="exact"/>
        <w:ind w:firstLine="640" w:firstLineChars="200"/>
        <w:rPr>
          <w:rFonts w:hint="eastAsia" w:ascii="Times New Roman" w:hAnsi="Times New Roman" w:eastAsia="仿宋_GB2312" w:cs="方正仿宋_GBK"/>
          <w:color w:val="000000"/>
          <w:sz w:val="32"/>
          <w:szCs w:val="32"/>
        </w:rPr>
      </w:pPr>
      <w:r>
        <w:rPr>
          <w:rFonts w:hint="eastAsia" w:ascii="Times New Roman" w:hAnsi="Times New Roman" w:eastAsia="仿宋_GB2312" w:cs="方正仿宋_GBK"/>
          <w:color w:val="000000"/>
          <w:sz w:val="32"/>
          <w:szCs w:val="32"/>
        </w:rPr>
        <w:t>针对糖尿病大血管病变机制未明，揭示炎症、巨噬细胞代谢稳态及内皮间充质转化在其发生中的作用及关键分子机制；验证干细胞修复、小分子化合物等干预策略在糖尿病大血管并发症中的作用。</w:t>
      </w:r>
    </w:p>
    <w:p w14:paraId="1CF7093B">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神经病理性疼痛机制及基于纳米递送技术的干预研究（申请代码1选择H09的下属代码）</w:t>
      </w:r>
    </w:p>
    <w:p w14:paraId="58ED9537">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神经病理性疼痛镇痛不足、神经炎症持续及修复受限的临床难题，结合多组学技术，阐明氧化应激失衡、神经免疫异常与修复障碍导致疼痛持续化的机制；开展纳米递送干预研究，解析其调控神经免疫互作规律，挖掘神经病理性疼痛干预新靶点，推动新型镇痛策略转化。</w:t>
      </w:r>
    </w:p>
    <w:p w14:paraId="6FD22E3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围术期神经认知障碍标志物早期识别及靶向干预技术研究（申请代码1选择H09的下属代码）</w:t>
      </w:r>
    </w:p>
    <w:p w14:paraId="6D18E2E6">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围术期神经认知障碍早期识别困难、干预手段缺乏的临床瓶颈，基于临床队列整合多组学与影像学分析筛选候选标志物，结合动物模型验证其预警价值及中枢调控途径，探究胶质细胞与神经血管单元稳态失衡机制，并在此基础上开展新型无创超声结合纳米材料技术的干预研究，评估其对关键靶点的调控作用及认知功能改善效应。</w:t>
      </w:r>
    </w:p>
    <w:p w14:paraId="61258E1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全麻药关键作用靶点调控脑网络的特异性神经机制研究（申请代码1选择H09的下属代码）</w:t>
      </w:r>
    </w:p>
    <w:p w14:paraId="0850EDD3">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全麻药作用的关键靶点与脑网络功能关联不清的核心科学问题，整合神经调控与靶向干预手段，阐明特异性靶点调控关键脑网络的作用机制，揭示全麻药物作用下关键脑网络的时空重构规律，并进行多维度行为与神经功能调控的验证。</w:t>
      </w:r>
    </w:p>
    <w:p w14:paraId="460C40D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病毒性肺炎的神经免疫调控机制研究（申请代码1选择H11的下属代码）</w:t>
      </w:r>
    </w:p>
    <w:p w14:paraId="0423C6E5">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病毒性肺炎中宿主抗病毒免疫失衡与炎症损伤并存、转归差异显著而跨系统调控机制不清的问题，开展中枢—外周神经免疫互作研究，阐明外周感染应激信号的中枢感知、整合与下行调控机制，明确其对肺部免疫微环境重塑及抗病毒免疫—组织耐受平衡的作用规律。</w:t>
      </w:r>
    </w:p>
    <w:p w14:paraId="23B4C06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组织修复再生在急性肺损伤中的机制研究（申请代码1选择H16的下属代码）</w:t>
      </w:r>
    </w:p>
    <w:p w14:paraId="2BEF943E">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围绕急性肺损伤上皮再生失衡，重点研究AEC2在损伤微环境及时序信号调控下进入正常再生或促纤维化异常命运的决定机制，解析其向AEC1分化受阻的关键分子开关与细胞状态转换节点，明确可逆干预窗口，建立损伤-再生一修复动态演进的精准识别与调控体系</w:t>
      </w:r>
    </w:p>
    <w:p w14:paraId="04F012E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前列腺癌原发灶代谢重编程介导乳酸化修饰促进骨转移灶进展的机制研究（申请代码1选择H18的下属代码）</w:t>
      </w:r>
    </w:p>
    <w:p w14:paraId="5B550228">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寡转移前列腺癌原发灶治疗获益存在异质性、且骨转移灶进展机制尚不明确的临床问题，依托寡转移前列腺癌临床队列，系统解析原发灶中代谢重编程与关键蛋白乳酸化修饰对骨转移灶微环境重塑和肿瘤侵袭的调控机制，为原发灶治疗获益的异质性及制定精准干预策略提供理论依据。</w:t>
      </w:r>
    </w:p>
    <w:p w14:paraId="3DC1356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前列腺肿瘤不可逆电穿孔（IRE）术后免疫微环境解析及治疗策略的研究（申请代码1选择H18的下属代码）</w:t>
      </w:r>
    </w:p>
    <w:p w14:paraId="5832BC38">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前列腺肿瘤不可逆电穿孔（IRE）术后易复发的难题，利用蛋白组、代谢组及单细胞分辨率的空间转录组学技术，多维度深入解析治疗后肿瘤免疫微环境中关键免疫抑制环节（如PD-1/PD-L1、ID01、腺苷通路）及免疫细胞代谢重编程等具体机制，并针对上述免疫微环境特征构建新型给药系统，建立局部给药联合治疗新策略，在临床前模型评价其疗效并探究协同治疗具体机制。</w:t>
      </w:r>
    </w:p>
    <w:p w14:paraId="2F06FEC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前列腺癌肠道菌群相关坏死性凋亡与免疫调控机制研究（申请代码1选择H18的下属代码）</w:t>
      </w:r>
    </w:p>
    <w:p w14:paraId="6C720ED7">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前列腺癌免疫微环境中肠道菌群相关坏死性凋亡异常激活问题，采用单细胞与空间转录组、代谢组及菌群测序等多组学技术，解析菌群与宿主免疫互作机制，并结合功能纳米材料干预，阐明其在调控细胞死亡、维持细胞稳态及重塑免疫微环境的作用，鉴定关键分子与细胞亚群，为前列腺癌免疫调控新策略和相关药物研发提供理论基础。</w:t>
      </w:r>
    </w:p>
    <w:p w14:paraId="260F2C8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乳腺癌和微环境互作介导靶向药物耐药的研究（申请代码1选择H18的下属代码）</w:t>
      </w:r>
    </w:p>
    <w:p w14:paraId="292F696B">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特定分子分型乳腺癌肿瘤细胞与微环境中细胞，特别是外周神经细胞、脂肪细胞和免疫细胞等，采用体内外实验，鉴定肿瘤微环境驱动乳腺癌靶向治疗耐药的关键靶标分子，并揭示其具体作用机制，为开发逆转靶向药物治疗耐药奠定基础。</w:t>
      </w:r>
    </w:p>
    <w:p w14:paraId="3C6DE94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HER2+乳腺癌靶向药耐药的演进机制与转化研究（申请代码1选择H18的下属代码）</w:t>
      </w:r>
    </w:p>
    <w:p w14:paraId="2B435093">
      <w:pPr>
        <w:spacing w:line="600" w:lineRule="exact"/>
        <w:ind w:firstLine="640" w:firstLineChars="200"/>
        <w:rPr>
          <w:rFonts w:hint="eastAsia" w:ascii="Times New Roman" w:hAnsi="Times New Roman" w:eastAsia="仿宋_GB2312" w:cs="方正仿宋_GBK"/>
          <w:color w:val="000000"/>
          <w:sz w:val="32"/>
          <w:szCs w:val="32"/>
        </w:rPr>
      </w:pPr>
      <w:r>
        <w:rPr>
          <w:rFonts w:hint="eastAsia" w:ascii="Times New Roman" w:hAnsi="Times New Roman" w:eastAsia="仿宋_GB2312" w:cs="方正仿宋_GBK"/>
          <w:color w:val="000000"/>
          <w:sz w:val="32"/>
          <w:szCs w:val="32"/>
        </w:rPr>
        <w:t>针对HER2+乳腺癌抗HER2靶向药（单抗和TKI类）耐药的关键临床难题，立足临床样本与耐药模型相结合的研究策略，利用代谢组、转录组及空间组学等技术，解析靶向药耐药发生与演进过程中的关键分子及其调控网络，筛选耐药后新靶点与新化合物，为HER2+乳腺癌构建临床耐药预测模型。</w:t>
      </w:r>
    </w:p>
    <w:p w14:paraId="369C69D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基于临床队列多组学联合分析乳腺癌脑转移演化机制与干预策略研究（申请代码1选择H18的下属代码）</w:t>
      </w:r>
    </w:p>
    <w:p w14:paraId="071AB62C">
      <w:pPr>
        <w:spacing w:line="600" w:lineRule="exact"/>
        <w:ind w:firstLine="640" w:firstLineChars="200"/>
        <w:rPr>
          <w:rFonts w:hint="eastAsia" w:ascii="Times New Roman" w:hAnsi="Times New Roman" w:eastAsia="仿宋_GB2312" w:cs="方正仿宋_GBK"/>
          <w:color w:val="000000"/>
          <w:sz w:val="32"/>
          <w:szCs w:val="32"/>
        </w:rPr>
      </w:pPr>
      <w:r>
        <w:rPr>
          <w:rFonts w:hint="eastAsia" w:ascii="Times New Roman" w:hAnsi="Times New Roman" w:eastAsia="仿宋_GB2312" w:cs="方正仿宋_GBK"/>
          <w:color w:val="000000"/>
          <w:sz w:val="32"/>
          <w:szCs w:val="32"/>
        </w:rPr>
        <w:t>针对乳腺癌脑转移缺乏有效治疗手段的问题，基于临床队列，利用原发灶和脑转移灶配对样本联合显微切割-空间蛋白组学的研究方法，在真实患者样本中原位解析肿瘤细胞从原发灶到脑转移灶的蛋白演化轨迹，挖掘差异表达蛋白及关键信号通路，并揭示其作用机制，为精准治疗提供干预靶点/潜在靶点。</w:t>
      </w:r>
    </w:p>
    <w:p w14:paraId="2B745E7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神经环路重塑氨基酸代谢促进焦虑障碍驱动型膀胱癌进展机制（申请代码1选择H18的下属代码）</w:t>
      </w:r>
    </w:p>
    <w:p w14:paraId="54B951AF">
      <w:pPr>
        <w:spacing w:line="600" w:lineRule="exact"/>
        <w:ind w:firstLine="640" w:firstLineChars="200"/>
        <w:rPr>
          <w:rFonts w:hint="eastAsia" w:ascii="Times New Roman" w:hAnsi="Times New Roman" w:eastAsia="仿宋_GB2312" w:cs="方正仿宋_GBK"/>
          <w:color w:val="000000"/>
          <w:sz w:val="32"/>
          <w:szCs w:val="32"/>
        </w:rPr>
      </w:pPr>
      <w:r>
        <w:rPr>
          <w:rFonts w:hint="eastAsia" w:ascii="Times New Roman" w:hAnsi="Times New Roman" w:eastAsia="仿宋_GB2312" w:cs="方正仿宋_GBK"/>
          <w:color w:val="000000"/>
          <w:sz w:val="32"/>
          <w:szCs w:val="32"/>
        </w:rPr>
        <w:t>针对焦虑障碍驱动型膀胱癌靶向干预策略匮乏现状，联合在体神经调控和多组学技术，探究焦虑障碍诱导膀胱稳态失衡的效应神经中枢及其通讯环路，筛选焦虑障碍驱动膀胱癌进展的氨基酸相关介质，为开发新的膀胱癌靶向药物提供理论依据。</w:t>
      </w:r>
    </w:p>
    <w:p w14:paraId="58494CE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肝癌跨器官转移生态位演进机制与精准干预研究（申请代码1选择H18的下属代码）</w:t>
      </w:r>
    </w:p>
    <w:p w14:paraId="56BA969D">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针对肝癌跨器官转移生态位异质性与免疫治疗应答差异不明的关键问题，通过多组学与模型研究，阐明器官特异性免疫生态位形成与调控机制，揭示转移演进规律，构建生态位分型模型并验证靶向干预路径。</w:t>
      </w:r>
    </w:p>
    <w:p w14:paraId="5DE004EA">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基于CT跨尺度影像表征的冠心病进展研究（申请代码1选择H27的下属代码）</w:t>
      </w:r>
    </w:p>
    <w:p w14:paraId="756134F4">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针对传统心脏CT成像无法同时精准定量心肌血流和冠状动脉斑块表征、冠心病患者功能学评价受限的问题，通过构建深度学习模型，开展低放射剂量的全心血流定量与斑块稳定性评价的可行性研究。</w:t>
      </w:r>
    </w:p>
    <w:p w14:paraId="6EBA1D8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工程巨噬细胞治疗心梗的可视化研究（申请代码1选择H27的下属代码）</w:t>
      </w:r>
    </w:p>
    <w:p w14:paraId="29990811">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心梗临床治疗手段有限、亟需发展适用于多器官协调的新型治疗策略这一核心科学问题，采用纳米工程化技术，构建具备磁共振实时成像能力的双模态靶向工程化巨噬细胞体系，并系统评估其特异性靶向及可视化性能；深入阐明该治疗体系在分子与影像层面的调控特征，并揭示其介导器官间互作的深层机制。</w:t>
      </w:r>
    </w:p>
    <w:p w14:paraId="6C38B93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靶向胰腺癌乏氧微环境的金雀异黄素纳米载药系统增效化疗免疫治疗的作用机制研究（申请代码1选择H33的下属代码）</w:t>
      </w:r>
    </w:p>
    <w:p w14:paraId="627C9C79">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胰腺癌微环境严重缺氧导致化疗耐药及免疫抑制的难题，利用可改善肿瘤局部乏氧的纳米载药系统结合中药提取物金雀异黄素，开展其与化疗和免疫药物联用治疗胰腺癌的研究，进一步阐明联合治疗增效的作用机制，为中药现代化</w:t>
      </w:r>
      <w:r>
        <w:rPr>
          <w:rFonts w:hint="eastAsia" w:ascii="Times New Roman" w:hAnsi="Times New Roman" w:eastAsia="仿宋_GB2312" w:cs="方正仿宋_GBK"/>
          <w:color w:val="000000"/>
          <w:sz w:val="32"/>
          <w:szCs w:val="32"/>
          <w:lang w:eastAsia="zh-CN"/>
        </w:rPr>
        <w:t>提供</w:t>
      </w:r>
      <w:r>
        <w:rPr>
          <w:rFonts w:hint="eastAsia" w:ascii="Times New Roman" w:hAnsi="Times New Roman" w:eastAsia="仿宋_GB2312" w:cs="方正仿宋_GBK"/>
          <w:color w:val="000000"/>
          <w:sz w:val="32"/>
          <w:szCs w:val="32"/>
        </w:rPr>
        <w:t>新的思路和依据。</w:t>
      </w:r>
    </w:p>
    <w:p w14:paraId="2B16AAD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EGFR/cMET靶向双抗对晚期胆囊癌治疗的精准增效机制研究（申请代码1选择H18的下属代码）</w:t>
      </w:r>
    </w:p>
    <w:p w14:paraId="4BF7E58B">
      <w:pPr>
        <w:spacing w:line="600" w:lineRule="exact"/>
        <w:ind w:firstLine="640" w:firstLineChars="200"/>
        <w:rPr>
          <w:rFonts w:hint="eastAsia" w:ascii="Times New Roman" w:hAnsi="Times New Roman" w:eastAsia="仿宋_GB2312" w:cs="方正仿宋_GBK"/>
          <w:color w:val="000000"/>
          <w:sz w:val="32"/>
          <w:szCs w:val="32"/>
          <w:lang w:eastAsia="zh-CN"/>
        </w:rPr>
      </w:pPr>
      <w:r>
        <w:rPr>
          <w:rFonts w:hint="eastAsia" w:ascii="Times New Roman" w:hAnsi="Times New Roman" w:eastAsia="仿宋_GB2312" w:cs="方正仿宋_GBK"/>
          <w:color w:val="000000"/>
          <w:sz w:val="32"/>
          <w:szCs w:val="32"/>
        </w:rPr>
        <w:t>针对晚期胆囊癌恶性程度高预后差及耐药机制不明的问题，采用多组学与生物模型，通过筛选靶向EGFR/cMET双抗治疗的敏感与耐药分子标志物，解析关键信号通路重塑胆囊癌肿瘤免疫微环境、驱动联合治疗耐药的分子网</w:t>
      </w:r>
      <w:bookmarkStart w:id="0" w:name="_GoBack"/>
      <w:bookmarkEnd w:id="0"/>
      <w:r>
        <w:rPr>
          <w:rFonts w:hint="eastAsia" w:ascii="Times New Roman" w:hAnsi="Times New Roman" w:eastAsia="仿宋_GB2312" w:cs="方正仿宋_GBK"/>
          <w:color w:val="000000"/>
          <w:sz w:val="32"/>
          <w:szCs w:val="32"/>
        </w:rPr>
        <w:t>络的作用机制，构建精准联合用药干预策略，开展临床增效评估与验证。</w:t>
      </w:r>
    </w:p>
    <w:p w14:paraId="4708BE47">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Times New Roman" w:hAnsi="Times New Roman" w:eastAsia="仿宋_GB2312" w:cs="方正仿宋_GBK"/>
          <w:b/>
          <w:bCs/>
          <w:color w:val="000000"/>
          <w:sz w:val="32"/>
          <w:szCs w:val="32"/>
        </w:rPr>
      </w:pPr>
      <w:r>
        <w:rPr>
          <w:rFonts w:hint="eastAsia" w:ascii="Times New Roman" w:hAnsi="Times New Roman" w:eastAsia="仿宋_GB2312" w:cs="方正仿宋_GBK"/>
          <w:b/>
          <w:bCs/>
          <w:color w:val="000000"/>
          <w:sz w:val="32"/>
          <w:szCs w:val="32"/>
        </w:rPr>
        <w:t>遗传性视神经疾病能量稳态调控机制与干预策略（申请代码1选择H13的下属代码）</w:t>
      </w:r>
    </w:p>
    <w:p w14:paraId="0040802A">
      <w:pPr>
        <w:spacing w:line="600" w:lineRule="exact"/>
        <w:ind w:firstLine="640" w:firstLineChars="200"/>
        <w:rPr>
          <w:rFonts w:hint="eastAsia" w:ascii="Times New Roman" w:hAnsi="Times New Roman" w:eastAsia="仿宋_GB2312" w:cs="方正仿宋_GBK"/>
          <w:color w:val="000000"/>
          <w:sz w:val="32"/>
          <w:szCs w:val="32"/>
        </w:rPr>
      </w:pPr>
      <w:r>
        <w:rPr>
          <w:rFonts w:hint="eastAsia" w:ascii="Times New Roman" w:hAnsi="Times New Roman" w:eastAsia="仿宋_GB2312" w:cs="方正仿宋_GBK"/>
          <w:color w:val="000000"/>
          <w:sz w:val="32"/>
          <w:szCs w:val="32"/>
        </w:rPr>
        <w:t>针对遗传性视神经疾病中线粒体功能损伤机制的关键科学问题，通过构建体内外损伤模型，开展能量代谢应激对视神经稳态影响的机制研究；解析跨膜信号通路在能量代谢重塑与神经元存活中的调控作用，阐明内源性保护信号介导线粒体稳态重建的分子基础，揭示视神经退行性病变干预的新靶点。</w:t>
      </w:r>
    </w:p>
    <w:p w14:paraId="752FCBD7">
      <w:pPr>
        <w:spacing w:line="600" w:lineRule="exact"/>
        <w:ind w:firstLine="640" w:firstLineChars="200"/>
        <w:rPr>
          <w:rFonts w:hint="eastAsia" w:ascii="Times New Roman" w:hAnsi="Times New Roman" w:eastAsia="仿宋_GB2312" w:cs="方正仿宋_GBK"/>
          <w:color w:val="000000"/>
          <w:sz w:val="32"/>
          <w:szCs w:val="32"/>
        </w:rPr>
      </w:pPr>
    </w:p>
    <w:p w14:paraId="48C72237"/>
    <w:sectPr>
      <w:footerReference r:id="rId3" w:type="default"/>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4541E">
    <w:pPr>
      <w:widowControl w:val="0"/>
      <w:tabs>
        <w:tab w:val="center" w:pos="4153"/>
        <w:tab w:val="center" w:pos="4213"/>
        <w:tab w:val="left" w:pos="4979"/>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500D2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ohXI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DohXI5AgAAcQQAAA4AAAAAAAAAAQAgAAAAHwEAAGRycy9lMm9Eb2Mu&#10;eG1sUEsFBgAAAAAGAAYAWQEAAMoFAAAAAA==&#10;">
              <v:fill on="f" focussize="0,0"/>
              <v:stroke on="f" weight="0.5pt"/>
              <v:imagedata o:title=""/>
              <o:lock v:ext="edit" aspectratio="f"/>
              <v:textbox inset="0mm,0mm,0mm,0mm" style="mso-fit-shape-to-text:t;">
                <w:txbxContent>
                  <w:p w14:paraId="53500D2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E52F6"/>
    <w:multiLevelType w:val="singleLevel"/>
    <w:tmpl w:val="005E52F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578FB"/>
    <w:rsid w:val="121578FB"/>
    <w:rsid w:val="16A909BC"/>
    <w:rsid w:val="35326D7C"/>
    <w:rsid w:val="544E2750"/>
    <w:rsid w:val="64B14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ae640a80-a325-4901-8b43-110d5a42c405</errorID>
      <errorWord>-</errorWord>
      <group>L1_Format</group>
      <groupName>格式问题</groupName>
      <ability>L2_HalfPunc_CN</ability>
      <abilityName/>
      <candidateList>
        <item>－</item>
      </candidateList>
      <explain>文本全半角错误。</explain>
      <paraID>5A7E0DCC</paraID>
      <start>17</start>
      <end>18</end>
      <status>modified</status>
      <modifiedWord>－</modifiedWord>
      <trackRevisions>false</trackRevisions>
    </reviewItem>
    <reviewItem>
      <errorID>0f5b60b8-fd2f-46bf-b844-59b4c4d7d100</errorID>
      <errorWord>围术期</errorWord>
      <group>L1_Word</group>
      <groupName>字词问题</groupName>
      <ability>L2_Typo</ability>
      <abilityName>字词错误</abilityName>
      <candidateList>
        <item>围手术期</item>
      </candidateList>
      <explain/>
      <paraID>6FD22E35</paraID>
      <start>0</start>
      <end>3</end>
      <status>ignored</status>
      <modifiedWord/>
      <trackRevisions>false</trackRevisions>
    </reviewItem>
    <reviewItem>
      <errorID>afa00d20-b5c1-4ece-a970-917871503b72</errorID>
      <errorWord>围术期</errorWord>
      <group>L1_Word</group>
      <groupName>字词问题</groupName>
      <ability>L2_Typo</ability>
      <abilityName>字词错误</abilityName>
      <candidateList>
        <item>围手术期</item>
      </candidateList>
      <explain/>
      <paraID>6D18E2E6</paraID>
      <start>2</start>
      <end>5</end>
      <status>ignored</status>
      <modifiedWord/>
      <trackRevisions>false</trackRevisions>
    </reviewItem>
    <reviewItem>
      <errorID>8052b8d0-5684-4c9c-b69d-9a6229d3ab8b</errorID>
      <errorWord>-</errorWord>
      <group>L1_Format</group>
      <groupName>格式问题</groupName>
      <ability>L2_HalfPunc_CN</ability>
      <abilityName/>
      <candidateList>
        <item>－</item>
      </candidateList>
      <explain>文本全半角错误。</explain>
      <paraID>2BEF943E</paraID>
      <start>99</start>
      <end>100</end>
      <status>ignored</status>
      <modifiedWord/>
      <trackRevisions>false</trackRevisions>
    </reviewItem>
    <reviewItem>
      <errorID>030495e2-d483-437d-bd7f-89c202a2919b</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5B550228</paraID>
      <start>21</start>
      <end>23</end>
      <status>ignored</status>
      <modifiedWord/>
      <trackRevisions>false</trackRevisions>
    </reviewItem>
    <reviewItem>
      <errorID>90e77297-4f67-413e-af0e-514461a6258d</errorID>
      <errorWord>焦虑</errorWord>
      <group>L1_Official</group>
      <groupName>公文问题</groupName>
      <ability>L2_Official</ability>
      <abilityName>公文问题</abilityName>
      <candidateList/>
      <explain>公文中禁止出现该词语</explain>
      <paraID>2B745E70</paraID>
      <start>13</start>
      <end>15</end>
      <status>ignored</status>
      <modifiedWord/>
      <trackRevisions>false</trackRevisions>
    </reviewItem>
    <reviewItem>
      <errorID>6275247a-59c3-4089-bdb4-06bf8c89cfae</errorID>
      <errorWord>焦虑</errorWord>
      <group>L1_Official</group>
      <groupName>公文问题</groupName>
      <ability>L2_Official</ability>
      <abilityName>公文问题</abilityName>
      <candidateList/>
      <explain>公文中禁止出现该词语</explain>
      <paraID>54B951AF</paraID>
      <start>2</start>
      <end>4</end>
      <status>ignored</status>
      <modifiedWord/>
      <trackRevisions>false</trackRevisions>
    </reviewItem>
    <reviewItem>
      <errorID>709cd1df-81ba-4edf-b18d-eb1b46bafaed</errorID>
      <errorWord>焦虑</errorWord>
      <group>L1_Official</group>
      <groupName>公文问题</groupName>
      <ability>L2_Official</ability>
      <abilityName>公文问题</abilityName>
      <candidateList/>
      <explain>公文中禁止出现该词语</explain>
      <paraID>54B951AF</paraID>
      <start>40</start>
      <end>42</end>
      <status>ignored</status>
      <modifiedWord/>
      <trackRevisions>false</trackRevisions>
    </reviewItem>
    <reviewItem>
      <errorID>21c15bf7-dc41-4049-a78e-e57b2b0b1d65</errorID>
      <errorWord>焦虑</errorWord>
      <group>L1_Official</group>
      <groupName>公文问题</groupName>
      <ability>L2_Official</ability>
      <abilityName>公文问题</abilityName>
      <candidateList/>
      <explain>公文中禁止出现该词语</explain>
      <paraID>54B951AF</paraID>
      <start>68</start>
      <end>70</end>
      <status>ignored</status>
      <modifiedWord/>
      <trackRevisions>false</trackRevisions>
    </reviewItem>
    <reviewItem>
      <errorID>bd46e42e-bfe0-488a-a7f4-292060a47084</errorID>
      <errorWord>心梗</errorWord>
      <group>L1_Knowledge</group>
      <groupName>知识性问题</groupName>
      <ability>L2_Term</ability>
      <abilityName>专业术语</abilityName>
      <candidateList>
        <item>心肌梗死</item>
      </candidateList>
      <explain>医学名词[心梗]为不规范表述或旧称，其规范书面表述为[心肌梗死]。</explain>
      <paraID>6EBA1D8E</paraID>
      <start>8</start>
      <end>10</end>
      <status>ignored</status>
      <modifiedWord/>
      <trackRevisions>false</trackRevisions>
    </reviewItem>
    <reviewItem>
      <errorID>1f8766cd-10e6-4b4c-b69c-16e3eeb3cf93</errorID>
      <errorWord>心梗</errorWord>
      <group>L1_Knowledge</group>
      <groupName>知识性问题</groupName>
      <ability>L2_Term</ability>
      <abilityName>专业术语</abilityName>
      <candidateList>
        <item>心肌梗死</item>
      </candidateList>
      <explain>医学名词[心梗]为不规范表述或旧称，其规范书面表述为[心肌梗死]。</explain>
      <paraID>29990811</paraID>
      <start>2</start>
      <end>4</end>
      <status>ignored</status>
      <modifiedWord/>
      <trackRevisions>false</trackRevisions>
    </reviewItem>
    <reviewItem>
      <errorID>b76ef755-bf59-47a4-88d5-e0db7ac6004c</errorID>
      <errorWord>亟需</errorWord>
      <group>L1_Word</group>
      <groupName>字词问题</groupName>
      <ability>L2_Typo</ability>
      <abilityName>字词错误</abilityName>
      <candidateList>
        <item>亟须</item>
      </candidateList>
      <explain/>
      <paraID>29990811</paraID>
      <start>13</start>
      <end>15</end>
      <status>ignored</status>
      <modifiedWord/>
      <trackRevisions>false</trackRevisions>
    </reviewItem>
    <reviewItem>
      <errorID>072dec27-9fd3-4f3d-8603-98d142921ee6</errorID>
      <errorWord>提做</errorWord>
      <group>L1_Word</group>
      <groupName>字词问题</groupName>
      <ability>L2_Typo</ability>
      <abilityName>字词错误</abilityName>
      <candidateList>
        <item>提供</item>
      </candidateList>
      <explain/>
      <paraID>627C9C79</paraID>
      <start>103</start>
      <end>105</end>
      <status>modified</status>
      <modifiedWord>提供</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ff70cf-fc1e-4544-a411-1f243c082353}">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3054</Words>
  <Characters>3152</Characters>
  <Lines>0</Lines>
  <Paragraphs>0</Paragraphs>
  <TotalTime>1</TotalTime>
  <ScaleCrop>false</ScaleCrop>
  <LinksUpToDate>false</LinksUpToDate>
  <CharactersWithSpaces>3152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2026-05-29T06:01:00Z</dcterms:created>
  <dc:creator>创业中心</dc:creator>
  <cp:lastModifiedBy>创业中心</cp:lastModifiedBy>
  <dcterms:modified xsi:type="dcterms:W3CDTF">2026-05-29T06:08:58Z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3C28C30F9B1C4A3F941C32530C388C39_11</vt:lpwstr>
  </property>
  <property fmtid="{D5CDD505-2E9C-101B-9397-08002B2CF9AE}" pid="4" name="KSOTemplateDocerSaveRecord">
    <vt:lpwstr>eyJoZGlkIjoiYmZkYWU2YjMzNzYwN2Y1ZDIzOGZlOTQzZTJhYmFjZjAiLCJ1c2VySWQiOiI1ODM5MTk4MTMifQ==</vt:lpwstr>
  </property>
</Properties>
</file>